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D5B7" w14:textId="578F3FB7" w:rsidR="00642710" w:rsidRPr="00642710" w:rsidRDefault="00642710" w:rsidP="00642710">
      <w:pPr>
        <w:pStyle w:val="Prrafodelista"/>
        <w:numPr>
          <w:ilvl w:val="0"/>
          <w:numId w:val="2"/>
        </w:numPr>
        <w:jc w:val="both"/>
        <w:rPr>
          <w:b/>
          <w:bCs/>
        </w:rPr>
      </w:pPr>
      <w:r w:rsidRPr="00642710">
        <w:rPr>
          <w:b/>
          <w:bCs/>
        </w:rPr>
        <w:t>PROTOCOLO PARA EL RECONOCIMIENTO DE IDENTIDAD DE GÉNERO DE NIÑOS, NIÑAS O ADOLESCENTES TRANS EN LA COMUNIDAD EDUCATIVA</w:t>
      </w:r>
    </w:p>
    <w:p w14:paraId="7AEB7617" w14:textId="77777777" w:rsidR="00642710" w:rsidRPr="00642710" w:rsidRDefault="00642710" w:rsidP="00642710">
      <w:pPr>
        <w:jc w:val="both"/>
      </w:pPr>
    </w:p>
    <w:p w14:paraId="361E3B6E" w14:textId="77777777" w:rsidR="00642710" w:rsidRPr="00642710" w:rsidRDefault="00642710" w:rsidP="00642710">
      <w:pPr>
        <w:jc w:val="both"/>
      </w:pPr>
      <w:r w:rsidRPr="00642710">
        <w:t>El Protocolo para el Reconocimiento de Identidad de Género de Niños, Niñas o Adolescentes Trans en la Comunidad Educativa se enmarca en el respeto y cumplimiento de los derechos humanos y en la protección de la diversidad de género en el contexto escolar, buscando garantizar un ambiente seguro, inclusivo y libre de discriminación para todos los estudiantes, en especial aquellos que son parte de la comunidad transgénero.</w:t>
      </w:r>
    </w:p>
    <w:p w14:paraId="40DAB42B" w14:textId="77777777" w:rsidR="00642710" w:rsidRPr="00642710" w:rsidRDefault="00642710" w:rsidP="00642710">
      <w:pPr>
        <w:jc w:val="both"/>
      </w:pPr>
      <w:r w:rsidRPr="00642710">
        <w:t xml:space="preserve">Este protocolo responde a la necesidad de promover una educación inclusiva que reconozca y respete la identidad de género de cada estudiante, conforme a los principios establecidos en la Ley </w:t>
      </w:r>
      <w:proofErr w:type="spellStart"/>
      <w:r w:rsidRPr="00642710">
        <w:t>N°</w:t>
      </w:r>
      <w:proofErr w:type="spellEnd"/>
      <w:r w:rsidRPr="00642710">
        <w:t xml:space="preserve"> 20.609 (Ley Zamudio), que establece medidas contra la discriminación, y la Convención sobre los Derechos del Niño de las Naciones Unidas, que asegura el derecho de los niños y adolescentes a ser escuchados, protegidos y tratados con dignidad.</w:t>
      </w:r>
    </w:p>
    <w:p w14:paraId="213E9ADB" w14:textId="77777777" w:rsidR="00642710" w:rsidRPr="00642710" w:rsidRDefault="00642710" w:rsidP="00642710">
      <w:pPr>
        <w:jc w:val="both"/>
      </w:pPr>
      <w:r w:rsidRPr="00642710">
        <w:t xml:space="preserve">Asimismo, se adhiere a lo dispuesto por la Ley </w:t>
      </w:r>
      <w:proofErr w:type="spellStart"/>
      <w:r w:rsidRPr="00642710">
        <w:t>N°</w:t>
      </w:r>
      <w:proofErr w:type="spellEnd"/>
      <w:r w:rsidRPr="00642710">
        <w:t xml:space="preserve"> 21.120, que regula la rectificación del sexo registral en documentos oficiales, permitiendo el reconocimiento legal de la identidad de género de las personas trans en Chile, y a la Ley </w:t>
      </w:r>
      <w:proofErr w:type="spellStart"/>
      <w:r w:rsidRPr="00642710">
        <w:t>N°</w:t>
      </w:r>
      <w:proofErr w:type="spellEnd"/>
      <w:r w:rsidRPr="00642710">
        <w:t xml:space="preserve"> 20.370 (Ley General de Educación), que obliga a los establecimientos educativos a fomentar un ambiente de respeto y tolerancia, libre de violencia y discriminación. En ese sentido, el protocolo busca armonizar estas disposiciones legales con las prácticas pedagógicas y administrativas dentro de los centros educativos.</w:t>
      </w:r>
    </w:p>
    <w:p w14:paraId="79C7971A" w14:textId="77777777" w:rsidR="00642710" w:rsidRPr="00642710" w:rsidRDefault="00642710" w:rsidP="00642710">
      <w:pPr>
        <w:jc w:val="both"/>
      </w:pPr>
      <w:r w:rsidRPr="00642710">
        <w:t>Ante esto, es indispensable diferenciar entre los siguientes conceptos:</w:t>
      </w:r>
    </w:p>
    <w:tbl>
      <w:tblPr>
        <w:tblW w:w="0" w:type="auto"/>
        <w:tblCellMar>
          <w:top w:w="15" w:type="dxa"/>
          <w:left w:w="15" w:type="dxa"/>
          <w:bottom w:w="15" w:type="dxa"/>
          <w:right w:w="15" w:type="dxa"/>
        </w:tblCellMar>
        <w:tblLook w:val="04A0" w:firstRow="1" w:lastRow="0" w:firstColumn="1" w:lastColumn="0" w:noHBand="0" w:noVBand="1"/>
      </w:tblPr>
      <w:tblGrid>
        <w:gridCol w:w="1488"/>
        <w:gridCol w:w="7340"/>
      </w:tblGrid>
      <w:tr w:rsidR="00642710" w:rsidRPr="00642710" w14:paraId="18186D61"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CAE96" w14:textId="77777777" w:rsidR="00642710" w:rsidRPr="00642710" w:rsidRDefault="00642710" w:rsidP="00642710">
            <w:pPr>
              <w:spacing w:after="0" w:line="0" w:lineRule="atLeast"/>
              <w:jc w:val="both"/>
              <w:rPr>
                <w:sz w:val="22"/>
                <w:szCs w:val="22"/>
              </w:rPr>
            </w:pPr>
            <w:r w:rsidRPr="00642710">
              <w:rPr>
                <w:b/>
                <w:bCs/>
                <w:sz w:val="22"/>
                <w:szCs w:val="22"/>
              </w:rPr>
              <w:t>Género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2B14C" w14:textId="77777777" w:rsidR="00642710" w:rsidRPr="00642710" w:rsidRDefault="00642710" w:rsidP="00642710">
            <w:pPr>
              <w:spacing w:after="0" w:line="0" w:lineRule="atLeast"/>
              <w:jc w:val="both"/>
              <w:rPr>
                <w:sz w:val="22"/>
                <w:szCs w:val="22"/>
              </w:rPr>
            </w:pPr>
            <w:r w:rsidRPr="00642710">
              <w:rPr>
                <w:sz w:val="22"/>
                <w:szCs w:val="22"/>
              </w:rPr>
              <w:t>Se refiere a los roles, comportamientos, actividades y atributos construidos social y culturalmente en torno a cada sexo biológico, que una comunidad en particular reconoce en base a las diferencias biológicas</w:t>
            </w:r>
          </w:p>
        </w:tc>
      </w:tr>
      <w:tr w:rsidR="00642710" w:rsidRPr="00642710" w14:paraId="7BF1393F"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8E1A0" w14:textId="77777777" w:rsidR="00642710" w:rsidRPr="00642710" w:rsidRDefault="00642710" w:rsidP="00642710">
            <w:pPr>
              <w:spacing w:after="0" w:line="0" w:lineRule="atLeast"/>
              <w:jc w:val="both"/>
              <w:rPr>
                <w:sz w:val="22"/>
                <w:szCs w:val="22"/>
              </w:rPr>
            </w:pPr>
            <w:r w:rsidRPr="00642710">
              <w:rPr>
                <w:b/>
                <w:bCs/>
                <w:sz w:val="22"/>
                <w:szCs w:val="22"/>
              </w:rPr>
              <w:t>Identidad de género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4AA97" w14:textId="77777777" w:rsidR="00642710" w:rsidRPr="00642710" w:rsidRDefault="00642710" w:rsidP="00642710">
            <w:pPr>
              <w:spacing w:after="0" w:line="0" w:lineRule="atLeast"/>
              <w:jc w:val="both"/>
              <w:rPr>
                <w:sz w:val="22"/>
                <w:szCs w:val="22"/>
              </w:rPr>
            </w:pPr>
            <w:r w:rsidRPr="00642710">
              <w:rPr>
                <w:sz w:val="22"/>
                <w:szCs w:val="22"/>
              </w:rPr>
              <w:t>Convicción personal e interna de ser hombre o mujer, tal como la persona se percibe a sí misma, la cual puede corresponder o no con el sexo y nombre verificados en el acta de inscripción de nacimiento.</w:t>
            </w:r>
          </w:p>
        </w:tc>
      </w:tr>
      <w:tr w:rsidR="00642710" w:rsidRPr="00642710" w14:paraId="004E11D4"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E1048" w14:textId="77777777" w:rsidR="00642710" w:rsidRPr="00642710" w:rsidRDefault="00642710" w:rsidP="00642710">
            <w:pPr>
              <w:spacing w:after="0" w:line="0" w:lineRule="atLeast"/>
              <w:jc w:val="both"/>
              <w:rPr>
                <w:sz w:val="22"/>
                <w:szCs w:val="22"/>
              </w:rPr>
            </w:pPr>
            <w:r w:rsidRPr="00642710">
              <w:rPr>
                <w:b/>
                <w:bCs/>
                <w:sz w:val="22"/>
                <w:szCs w:val="22"/>
              </w:rPr>
              <w:t>Expresión de género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397AA" w14:textId="77777777" w:rsidR="00642710" w:rsidRPr="00642710" w:rsidRDefault="00642710" w:rsidP="00642710">
            <w:pPr>
              <w:spacing w:after="0" w:line="0" w:lineRule="atLeast"/>
              <w:jc w:val="both"/>
              <w:rPr>
                <w:sz w:val="22"/>
                <w:szCs w:val="22"/>
              </w:rPr>
            </w:pPr>
            <w:r w:rsidRPr="00642710">
              <w:rPr>
                <w:sz w:val="22"/>
                <w:szCs w:val="22"/>
              </w:rPr>
              <w:t>Manifestación externa del género de la persona, la cual puede incluir modos de hablar o vestir, modificaciones corporales, o formas de comportamiento e interacción social, entre otros aspectos.</w:t>
            </w:r>
          </w:p>
        </w:tc>
      </w:tr>
      <w:tr w:rsidR="00642710" w:rsidRPr="00642710" w14:paraId="0DBE6D1E"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EA6EA" w14:textId="77777777" w:rsidR="00642710" w:rsidRPr="00642710" w:rsidRDefault="00642710" w:rsidP="00642710">
            <w:pPr>
              <w:spacing w:after="0" w:line="0" w:lineRule="atLeast"/>
              <w:jc w:val="both"/>
              <w:rPr>
                <w:sz w:val="22"/>
                <w:szCs w:val="22"/>
              </w:rPr>
            </w:pPr>
            <w:r w:rsidRPr="00642710">
              <w:rPr>
                <w:b/>
                <w:bCs/>
                <w:sz w:val="22"/>
                <w:szCs w:val="22"/>
              </w:rPr>
              <w:t>Trans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641FE" w14:textId="77777777" w:rsidR="00642710" w:rsidRPr="00642710" w:rsidRDefault="00642710" w:rsidP="00642710">
            <w:pPr>
              <w:spacing w:after="0" w:line="0" w:lineRule="atLeast"/>
              <w:jc w:val="both"/>
              <w:rPr>
                <w:sz w:val="22"/>
                <w:szCs w:val="22"/>
              </w:rPr>
            </w:pPr>
            <w:r w:rsidRPr="00642710">
              <w:rPr>
                <w:sz w:val="22"/>
                <w:szCs w:val="22"/>
              </w:rPr>
              <w:t>Término general referido a personas cuya identidad y/o expresión de género no se corresponde con las normas y expectativas sociales tradicionalmente asociadas con su sexo verificado en el acta de inscripción del nacimiento.</w:t>
            </w:r>
          </w:p>
        </w:tc>
      </w:tr>
    </w:tbl>
    <w:p w14:paraId="5D6CC215" w14:textId="3A8FBB56" w:rsidR="00642710" w:rsidRPr="00642710" w:rsidRDefault="00642710" w:rsidP="00642710">
      <w:pPr>
        <w:jc w:val="both"/>
      </w:pPr>
    </w:p>
    <w:p w14:paraId="305E8396" w14:textId="77777777" w:rsidR="00642710" w:rsidRPr="00642710" w:rsidRDefault="00642710" w:rsidP="00642710">
      <w:pPr>
        <w:jc w:val="both"/>
      </w:pPr>
      <w:r w:rsidRPr="00642710">
        <w:lastRenderedPageBreak/>
        <w:t>A continuación, se relatan los pasos de solicitud de Reconocimiento de Identidad de Género en el liceo Alto Jahuel:</w:t>
      </w:r>
    </w:p>
    <w:tbl>
      <w:tblPr>
        <w:tblW w:w="0" w:type="auto"/>
        <w:tblCellMar>
          <w:top w:w="15" w:type="dxa"/>
          <w:left w:w="15" w:type="dxa"/>
          <w:bottom w:w="15" w:type="dxa"/>
          <w:right w:w="15" w:type="dxa"/>
        </w:tblCellMar>
        <w:tblLook w:val="04A0" w:firstRow="1" w:lastRow="0" w:firstColumn="1" w:lastColumn="0" w:noHBand="0" w:noVBand="1"/>
      </w:tblPr>
      <w:tblGrid>
        <w:gridCol w:w="2245"/>
        <w:gridCol w:w="6583"/>
      </w:tblGrid>
      <w:tr w:rsidR="00642710" w:rsidRPr="00642710" w14:paraId="1211A652" w14:textId="77777777" w:rsidTr="00642710">
        <w:tc>
          <w:tcPr>
            <w:tcW w:w="0" w:type="auto"/>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34EAD0CF" w14:textId="77777777" w:rsidR="00642710" w:rsidRPr="00642710" w:rsidRDefault="00642710" w:rsidP="00642710">
            <w:pPr>
              <w:spacing w:after="0" w:line="0" w:lineRule="atLeast"/>
              <w:jc w:val="both"/>
              <w:rPr>
                <w:sz w:val="22"/>
                <w:szCs w:val="22"/>
              </w:rPr>
            </w:pPr>
            <w:r w:rsidRPr="00642710">
              <w:rPr>
                <w:b/>
                <w:bCs/>
                <w:sz w:val="22"/>
                <w:szCs w:val="22"/>
              </w:rPr>
              <w:t>Acción</w:t>
            </w:r>
          </w:p>
        </w:tc>
        <w:tc>
          <w:tcPr>
            <w:tcW w:w="0" w:type="auto"/>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hideMark/>
          </w:tcPr>
          <w:p w14:paraId="2F595B55" w14:textId="77777777" w:rsidR="00642710" w:rsidRPr="00642710" w:rsidRDefault="00642710" w:rsidP="00642710">
            <w:pPr>
              <w:spacing w:after="0" w:line="0" w:lineRule="atLeast"/>
              <w:jc w:val="both"/>
              <w:rPr>
                <w:sz w:val="22"/>
                <w:szCs w:val="22"/>
              </w:rPr>
            </w:pPr>
            <w:r w:rsidRPr="00642710">
              <w:rPr>
                <w:b/>
                <w:bCs/>
                <w:sz w:val="22"/>
                <w:szCs w:val="22"/>
              </w:rPr>
              <w:t>Descripción</w:t>
            </w:r>
          </w:p>
        </w:tc>
      </w:tr>
      <w:tr w:rsidR="00642710" w:rsidRPr="00642710" w14:paraId="2BA7979A"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6547B" w14:textId="77777777" w:rsidR="00642710" w:rsidRPr="00642710" w:rsidRDefault="00642710" w:rsidP="00642710">
            <w:pPr>
              <w:spacing w:after="0" w:line="0" w:lineRule="atLeast"/>
              <w:jc w:val="both"/>
              <w:rPr>
                <w:sz w:val="22"/>
                <w:szCs w:val="22"/>
              </w:rPr>
            </w:pPr>
          </w:p>
          <w:p w14:paraId="3B83D178" w14:textId="77777777" w:rsidR="00642710" w:rsidRPr="00642710" w:rsidRDefault="00642710" w:rsidP="00642710">
            <w:pPr>
              <w:spacing w:after="0" w:line="0" w:lineRule="atLeast"/>
              <w:jc w:val="both"/>
              <w:rPr>
                <w:sz w:val="22"/>
                <w:szCs w:val="22"/>
              </w:rPr>
            </w:pPr>
            <w:r w:rsidRPr="00642710">
              <w:rPr>
                <w:b/>
                <w:bCs/>
                <w:sz w:val="22"/>
                <w:szCs w:val="22"/>
              </w:rPr>
              <w:t>Solicitud de Entrevista Formal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7B9D1" w14:textId="77777777" w:rsidR="00642710" w:rsidRPr="00642710" w:rsidRDefault="00642710" w:rsidP="00642710">
            <w:pPr>
              <w:spacing w:after="0" w:line="0" w:lineRule="atLeast"/>
              <w:jc w:val="both"/>
              <w:rPr>
                <w:sz w:val="22"/>
                <w:szCs w:val="22"/>
              </w:rPr>
            </w:pPr>
            <w:r w:rsidRPr="00642710">
              <w:rPr>
                <w:sz w:val="22"/>
                <w:szCs w:val="22"/>
              </w:rPr>
              <w:t>La solicitud de entrevista debe realizarse formalmente con la máxima autoridad educativa del establecimiento, quien organizará una reunión en un plazo máximo de 5 días hábiles. La entrevista será registrada por un acta, que debe incluir: </w:t>
            </w:r>
          </w:p>
          <w:p w14:paraId="02705CDF" w14:textId="77777777" w:rsidR="00642710" w:rsidRPr="00642710" w:rsidRDefault="00642710" w:rsidP="00642710">
            <w:pPr>
              <w:spacing w:after="0" w:line="0" w:lineRule="atLeast"/>
              <w:jc w:val="both"/>
              <w:rPr>
                <w:sz w:val="22"/>
                <w:szCs w:val="22"/>
              </w:rPr>
            </w:pPr>
            <w:r w:rsidRPr="00642710">
              <w:rPr>
                <w:sz w:val="22"/>
                <w:szCs w:val="22"/>
              </w:rPr>
              <w:br/>
              <w:t xml:space="preserve">i) Acuerdos alcanzados. </w:t>
            </w:r>
            <w:r w:rsidRPr="00642710">
              <w:rPr>
                <w:sz w:val="22"/>
                <w:szCs w:val="22"/>
              </w:rPr>
              <w:br/>
            </w:r>
            <w:proofErr w:type="spellStart"/>
            <w:r w:rsidRPr="00642710">
              <w:rPr>
                <w:sz w:val="22"/>
                <w:szCs w:val="22"/>
              </w:rPr>
              <w:t>ii</w:t>
            </w:r>
            <w:proofErr w:type="spellEnd"/>
            <w:r w:rsidRPr="00642710">
              <w:rPr>
                <w:sz w:val="22"/>
                <w:szCs w:val="22"/>
              </w:rPr>
              <w:t xml:space="preserve">) Medidas a adoptar. </w:t>
            </w:r>
            <w:r w:rsidRPr="00642710">
              <w:rPr>
                <w:sz w:val="22"/>
                <w:szCs w:val="22"/>
              </w:rPr>
              <w:br/>
            </w:r>
            <w:proofErr w:type="spellStart"/>
            <w:r w:rsidRPr="00642710">
              <w:rPr>
                <w:sz w:val="22"/>
                <w:szCs w:val="22"/>
              </w:rPr>
              <w:t>iii</w:t>
            </w:r>
            <w:proofErr w:type="spellEnd"/>
            <w:r w:rsidRPr="00642710">
              <w:rPr>
                <w:sz w:val="22"/>
                <w:szCs w:val="22"/>
              </w:rPr>
              <w:t>) Coordinación de los plazos de implementación y seguimiento.</w:t>
            </w:r>
          </w:p>
        </w:tc>
      </w:tr>
      <w:tr w:rsidR="00642710" w:rsidRPr="00642710" w14:paraId="3958DFE8"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FB874" w14:textId="77777777" w:rsidR="00642710" w:rsidRPr="00642710" w:rsidRDefault="00642710" w:rsidP="00642710">
            <w:pPr>
              <w:spacing w:after="0" w:line="0" w:lineRule="atLeast"/>
              <w:jc w:val="both"/>
              <w:rPr>
                <w:sz w:val="22"/>
                <w:szCs w:val="22"/>
              </w:rPr>
            </w:pPr>
          </w:p>
          <w:p w14:paraId="74040BE2" w14:textId="77777777" w:rsidR="00642710" w:rsidRPr="00642710" w:rsidRDefault="00642710" w:rsidP="00642710">
            <w:pPr>
              <w:spacing w:after="0" w:line="0" w:lineRule="atLeast"/>
              <w:jc w:val="both"/>
              <w:rPr>
                <w:sz w:val="22"/>
                <w:szCs w:val="22"/>
              </w:rPr>
            </w:pPr>
            <w:r w:rsidRPr="00642710">
              <w:rPr>
                <w:b/>
                <w:bCs/>
                <w:sz w:val="22"/>
                <w:szCs w:val="22"/>
              </w:rPr>
              <w:t>Medidas Básicas de Apoyo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8E3D2" w14:textId="77777777" w:rsidR="00642710" w:rsidRPr="00642710" w:rsidRDefault="00642710" w:rsidP="00642710">
            <w:pPr>
              <w:spacing w:after="0" w:line="0" w:lineRule="atLeast"/>
              <w:jc w:val="both"/>
              <w:rPr>
                <w:sz w:val="22"/>
                <w:szCs w:val="22"/>
              </w:rPr>
            </w:pPr>
            <w:r w:rsidRPr="00642710">
              <w:rPr>
                <w:sz w:val="22"/>
                <w:szCs w:val="22"/>
              </w:rPr>
              <w:t>Una vez formalizada la solicitud, el establecimiento debe adoptar las medidas básicas de apoyo establecidas en la Resolución 812 de la SUPEREDUC, así como todas las necesarias para la adecuada inclusión de los estudiantes transgénero.</w:t>
            </w:r>
          </w:p>
        </w:tc>
      </w:tr>
      <w:tr w:rsidR="00642710" w:rsidRPr="00642710" w14:paraId="0EDD2EE4"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2A159" w14:textId="77777777" w:rsidR="00642710" w:rsidRPr="00642710" w:rsidRDefault="00642710" w:rsidP="00642710">
            <w:pPr>
              <w:spacing w:after="0" w:line="0" w:lineRule="atLeast"/>
              <w:jc w:val="both"/>
              <w:rPr>
                <w:sz w:val="22"/>
                <w:szCs w:val="22"/>
              </w:rPr>
            </w:pPr>
            <w:r w:rsidRPr="00642710">
              <w:rPr>
                <w:b/>
                <w:bCs/>
                <w:sz w:val="22"/>
                <w:szCs w:val="22"/>
              </w:rPr>
              <w:t>Consentimiento y Resguardo de Integridad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4938C" w14:textId="77777777" w:rsidR="00642710" w:rsidRPr="00642710" w:rsidRDefault="00642710" w:rsidP="00642710">
            <w:pPr>
              <w:spacing w:after="0" w:line="0" w:lineRule="atLeast"/>
              <w:jc w:val="both"/>
              <w:rPr>
                <w:sz w:val="22"/>
                <w:szCs w:val="22"/>
              </w:rPr>
            </w:pPr>
            <w:r w:rsidRPr="00642710">
              <w:rPr>
                <w:sz w:val="22"/>
                <w:szCs w:val="22"/>
              </w:rPr>
              <w:t>Toda medida deberá ser adoptada con el consentimiento previo de la niña, niño o estudiante, con el apoyo de los padres, tutores o apoderados. Se velará por la integridad física, psicológica y moral del estudiante, y las medidas podrán ser revisadas si es necesario.</w:t>
            </w:r>
          </w:p>
        </w:tc>
      </w:tr>
      <w:tr w:rsidR="00642710" w:rsidRPr="00642710" w14:paraId="5BB2AB6C"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C89D0" w14:textId="77777777" w:rsidR="00642710" w:rsidRPr="00642710" w:rsidRDefault="00642710" w:rsidP="00642710">
            <w:pPr>
              <w:spacing w:after="0" w:line="0" w:lineRule="atLeast"/>
              <w:jc w:val="both"/>
              <w:rPr>
                <w:sz w:val="22"/>
                <w:szCs w:val="22"/>
              </w:rPr>
            </w:pPr>
            <w:r w:rsidRPr="00642710">
              <w:rPr>
                <w:b/>
                <w:bCs/>
                <w:sz w:val="22"/>
                <w:szCs w:val="22"/>
              </w:rPr>
              <w:t>Respeto a la Privacidad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FD81D" w14:textId="77777777" w:rsidR="00642710" w:rsidRPr="00642710" w:rsidRDefault="00642710" w:rsidP="00642710">
            <w:pPr>
              <w:spacing w:after="0" w:line="0" w:lineRule="atLeast"/>
              <w:jc w:val="both"/>
              <w:rPr>
                <w:sz w:val="22"/>
                <w:szCs w:val="22"/>
              </w:rPr>
            </w:pPr>
            <w:r w:rsidRPr="00642710">
              <w:rPr>
                <w:sz w:val="22"/>
                <w:szCs w:val="22"/>
              </w:rPr>
              <w:t>Las autoridades y adultos de la comunidad educativa deben respetar el derecho de privacidad del estudiante. El estudiante será quien decida cuándo y con quién compartir su identidad de género.</w:t>
            </w:r>
          </w:p>
        </w:tc>
      </w:tr>
      <w:tr w:rsidR="00642710" w:rsidRPr="00642710" w14:paraId="5111F263"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734BC" w14:textId="77777777" w:rsidR="00642710" w:rsidRPr="00642710" w:rsidRDefault="00642710" w:rsidP="00642710">
            <w:pPr>
              <w:spacing w:after="0" w:line="0" w:lineRule="atLeast"/>
              <w:jc w:val="both"/>
              <w:rPr>
                <w:sz w:val="22"/>
                <w:szCs w:val="22"/>
              </w:rPr>
            </w:pPr>
            <w:r w:rsidRPr="00642710">
              <w:rPr>
                <w:b/>
                <w:bCs/>
                <w:sz w:val="22"/>
                <w:szCs w:val="22"/>
              </w:rPr>
              <w:t>Reunión Inicial con Autoridades Docentes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EFCB8" w14:textId="77777777" w:rsidR="00642710" w:rsidRPr="00642710" w:rsidRDefault="00642710" w:rsidP="00642710">
            <w:pPr>
              <w:spacing w:after="0" w:line="0" w:lineRule="atLeast"/>
              <w:jc w:val="both"/>
              <w:rPr>
                <w:sz w:val="22"/>
                <w:szCs w:val="22"/>
              </w:rPr>
            </w:pPr>
            <w:r w:rsidRPr="00642710">
              <w:rPr>
                <w:sz w:val="22"/>
                <w:szCs w:val="22"/>
              </w:rPr>
              <w:t>Se llevará a cabo una reunión ampliada con las autoridades docentes del ciclo, el profesor jefe, los profesores del curso y los miembros del equipo multidisciplinar. Se registrará esta reunión para documentar las decisiones y medidas acordadas.</w:t>
            </w:r>
          </w:p>
        </w:tc>
      </w:tr>
      <w:tr w:rsidR="00642710" w:rsidRPr="00642710" w14:paraId="0D027DFD"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AE1C" w14:textId="77777777" w:rsidR="00642710" w:rsidRPr="00642710" w:rsidRDefault="00642710" w:rsidP="00642710">
            <w:pPr>
              <w:spacing w:after="0" w:line="0" w:lineRule="atLeast"/>
              <w:jc w:val="both"/>
              <w:rPr>
                <w:sz w:val="22"/>
                <w:szCs w:val="22"/>
              </w:rPr>
            </w:pPr>
            <w:r w:rsidRPr="00642710">
              <w:rPr>
                <w:b/>
                <w:bCs/>
                <w:sz w:val="22"/>
                <w:szCs w:val="22"/>
              </w:rPr>
              <w:t>Comunicación de Conductas Observadas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04277" w14:textId="77777777" w:rsidR="00642710" w:rsidRPr="00642710" w:rsidRDefault="00642710" w:rsidP="00642710">
            <w:pPr>
              <w:spacing w:after="0" w:line="0" w:lineRule="atLeast"/>
              <w:jc w:val="both"/>
              <w:rPr>
                <w:sz w:val="22"/>
                <w:szCs w:val="22"/>
              </w:rPr>
            </w:pPr>
            <w:r w:rsidRPr="00642710">
              <w:rPr>
                <w:sz w:val="22"/>
                <w:szCs w:val="22"/>
              </w:rPr>
              <w:t>Si un docente observa que un estudiante menor de edad manifiesta una identidad de género no coincidente con el sexo asignado al nacer, sin que sus padres lo hayan comunicado, deberá informar a Convivencia Educativa. El/la director/a convocará a una reunión con los padres, el Profesor jefe y un miembro del Equipo de Convivencia Escolar para discutir los hechos observados.</w:t>
            </w:r>
          </w:p>
        </w:tc>
      </w:tr>
      <w:tr w:rsidR="00642710" w:rsidRPr="00642710" w14:paraId="4982D738"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81393" w14:textId="77777777" w:rsidR="00642710" w:rsidRPr="00642710" w:rsidRDefault="00642710" w:rsidP="00642710">
            <w:pPr>
              <w:spacing w:after="0" w:line="0" w:lineRule="atLeast"/>
              <w:jc w:val="both"/>
              <w:rPr>
                <w:sz w:val="22"/>
                <w:szCs w:val="22"/>
              </w:rPr>
            </w:pPr>
          </w:p>
          <w:p w14:paraId="5203BEE0" w14:textId="77777777" w:rsidR="00642710" w:rsidRPr="00642710" w:rsidRDefault="00642710" w:rsidP="00642710">
            <w:pPr>
              <w:spacing w:after="0" w:line="0" w:lineRule="atLeast"/>
              <w:jc w:val="both"/>
              <w:rPr>
                <w:sz w:val="22"/>
                <w:szCs w:val="22"/>
              </w:rPr>
            </w:pPr>
            <w:r w:rsidRPr="00642710">
              <w:rPr>
                <w:b/>
                <w:bCs/>
                <w:sz w:val="22"/>
                <w:szCs w:val="22"/>
              </w:rPr>
              <w:t>Apoyo a la Mediación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E745C" w14:textId="77777777" w:rsidR="00642710" w:rsidRPr="00642710" w:rsidRDefault="00642710" w:rsidP="00642710">
            <w:pPr>
              <w:spacing w:after="0" w:line="0" w:lineRule="atLeast"/>
              <w:jc w:val="both"/>
              <w:rPr>
                <w:sz w:val="22"/>
                <w:szCs w:val="22"/>
              </w:rPr>
            </w:pPr>
            <w:r w:rsidRPr="00642710">
              <w:rPr>
                <w:sz w:val="22"/>
                <w:szCs w:val="22"/>
              </w:rPr>
              <w:t>Si existen diferencias entre la familia, el estudiante y el establecimiento, el establecimiento puede solicitar apoyo a la Superintendencia de Educación a través de su servicio de mediación. Esto también se aplica si el estudiante menor de edad solicita el reconocimiento sin el apoyo de sus padres o apoderados.</w:t>
            </w:r>
          </w:p>
        </w:tc>
      </w:tr>
      <w:tr w:rsidR="00642710" w:rsidRPr="00642710" w14:paraId="101F331A"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76B77" w14:textId="77777777" w:rsidR="00642710" w:rsidRPr="00642710" w:rsidRDefault="00642710" w:rsidP="00642710">
            <w:pPr>
              <w:spacing w:after="0" w:line="0" w:lineRule="atLeast"/>
              <w:jc w:val="both"/>
              <w:rPr>
                <w:sz w:val="22"/>
                <w:szCs w:val="22"/>
              </w:rPr>
            </w:pPr>
            <w:r w:rsidRPr="00642710">
              <w:rPr>
                <w:b/>
                <w:bCs/>
                <w:sz w:val="22"/>
                <w:szCs w:val="22"/>
              </w:rPr>
              <w:t>Comunicación con padre/madre ausente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29231" w14:textId="77777777" w:rsidR="00642710" w:rsidRPr="00642710" w:rsidRDefault="00642710" w:rsidP="00642710">
            <w:pPr>
              <w:spacing w:after="0" w:line="0" w:lineRule="atLeast"/>
              <w:jc w:val="both"/>
              <w:rPr>
                <w:sz w:val="22"/>
                <w:szCs w:val="22"/>
              </w:rPr>
            </w:pPr>
            <w:r w:rsidRPr="00642710">
              <w:rPr>
                <w:sz w:val="22"/>
                <w:szCs w:val="22"/>
              </w:rPr>
              <w:t>Contactar al padre/madre ausente para informar y asegurar el acuerdo mutuo antes de proceder con los pasos siguientes.</w:t>
            </w:r>
          </w:p>
        </w:tc>
      </w:tr>
    </w:tbl>
    <w:p w14:paraId="17F822FF" w14:textId="1B1A96A7" w:rsidR="00642710" w:rsidRDefault="00642710" w:rsidP="00642710">
      <w:pPr>
        <w:spacing w:after="0" w:line="0" w:lineRule="atLeast"/>
        <w:jc w:val="both"/>
      </w:pPr>
    </w:p>
    <w:p w14:paraId="6573846E" w14:textId="77777777" w:rsidR="00642710" w:rsidRDefault="00642710" w:rsidP="00642710">
      <w:pPr>
        <w:spacing w:after="0" w:line="0" w:lineRule="atLeast"/>
        <w:jc w:val="both"/>
      </w:pPr>
    </w:p>
    <w:p w14:paraId="3C58A67B" w14:textId="77777777" w:rsidR="00642710" w:rsidRDefault="00642710" w:rsidP="00642710">
      <w:pPr>
        <w:spacing w:after="0" w:line="0" w:lineRule="atLeast"/>
        <w:jc w:val="both"/>
      </w:pPr>
    </w:p>
    <w:p w14:paraId="4722D230" w14:textId="77777777" w:rsidR="00642710" w:rsidRDefault="00642710" w:rsidP="00642710">
      <w:pPr>
        <w:spacing w:after="0" w:line="0" w:lineRule="atLeast"/>
        <w:jc w:val="both"/>
      </w:pPr>
    </w:p>
    <w:p w14:paraId="2B285686" w14:textId="77777777" w:rsidR="00642710" w:rsidRDefault="00642710" w:rsidP="00642710">
      <w:pPr>
        <w:spacing w:after="0" w:line="0" w:lineRule="atLeast"/>
        <w:jc w:val="both"/>
      </w:pPr>
    </w:p>
    <w:p w14:paraId="2A72C012" w14:textId="77777777" w:rsidR="00642710" w:rsidRDefault="00642710" w:rsidP="00642710">
      <w:pPr>
        <w:spacing w:after="0" w:line="0" w:lineRule="atLeast"/>
        <w:jc w:val="both"/>
      </w:pPr>
    </w:p>
    <w:p w14:paraId="0A2599A1" w14:textId="77777777" w:rsidR="00642710" w:rsidRPr="00642710" w:rsidRDefault="00642710" w:rsidP="00642710">
      <w:pPr>
        <w:spacing w:after="0" w:line="0" w:lineRule="atLeast"/>
        <w:jc w:val="both"/>
      </w:pPr>
    </w:p>
    <w:p w14:paraId="25634D1B" w14:textId="77777777" w:rsidR="00642710" w:rsidRPr="00642710" w:rsidRDefault="00642710" w:rsidP="00642710">
      <w:pPr>
        <w:spacing w:after="0" w:line="0" w:lineRule="atLeast"/>
        <w:jc w:val="both"/>
      </w:pPr>
      <w:r w:rsidRPr="00642710">
        <w:rPr>
          <w:b/>
          <w:bCs/>
        </w:rPr>
        <w:t xml:space="preserve">Comisión para el reconocimiento de identidad de género de </w:t>
      </w:r>
      <w:proofErr w:type="spellStart"/>
      <w:r w:rsidRPr="00642710">
        <w:rPr>
          <w:b/>
          <w:bCs/>
        </w:rPr>
        <w:t>nna</w:t>
      </w:r>
      <w:proofErr w:type="spellEnd"/>
      <w:r w:rsidRPr="00642710">
        <w:rPr>
          <w:b/>
          <w:bCs/>
        </w:rPr>
        <w:t xml:space="preserve"> trans</w:t>
      </w:r>
    </w:p>
    <w:p w14:paraId="6D91CEAF" w14:textId="77777777" w:rsidR="00642710" w:rsidRPr="00642710" w:rsidRDefault="00642710" w:rsidP="00642710">
      <w:pPr>
        <w:spacing w:after="0" w:line="0" w:lineRule="atLeast"/>
        <w:jc w:val="both"/>
      </w:pPr>
    </w:p>
    <w:tbl>
      <w:tblPr>
        <w:tblW w:w="0" w:type="auto"/>
        <w:tblCellMar>
          <w:top w:w="15" w:type="dxa"/>
          <w:left w:w="15" w:type="dxa"/>
          <w:bottom w:w="15" w:type="dxa"/>
          <w:right w:w="15" w:type="dxa"/>
        </w:tblCellMar>
        <w:tblLook w:val="04A0" w:firstRow="1" w:lastRow="0" w:firstColumn="1" w:lastColumn="0" w:noHBand="0" w:noVBand="1"/>
      </w:tblPr>
      <w:tblGrid>
        <w:gridCol w:w="2089"/>
        <w:gridCol w:w="2547"/>
        <w:gridCol w:w="2029"/>
        <w:gridCol w:w="2163"/>
      </w:tblGrid>
      <w:tr w:rsidR="00642710" w:rsidRPr="00642710" w14:paraId="2DF3A1E4" w14:textId="77777777" w:rsidTr="00642710">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0DB31387" w14:textId="77777777" w:rsidR="00642710" w:rsidRPr="00642710" w:rsidRDefault="00642710" w:rsidP="00642710">
            <w:pPr>
              <w:spacing w:after="0" w:line="0" w:lineRule="atLeast"/>
              <w:jc w:val="both"/>
              <w:rPr>
                <w:sz w:val="22"/>
                <w:szCs w:val="22"/>
              </w:rPr>
            </w:pPr>
            <w:r w:rsidRPr="00642710">
              <w:rPr>
                <w:b/>
                <w:bCs/>
                <w:sz w:val="22"/>
                <w:szCs w:val="22"/>
              </w:rPr>
              <w:t>Acción</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2A00D093" w14:textId="77777777" w:rsidR="00642710" w:rsidRPr="00642710" w:rsidRDefault="00642710" w:rsidP="00642710">
            <w:pPr>
              <w:spacing w:after="0" w:line="0" w:lineRule="atLeast"/>
              <w:jc w:val="both"/>
              <w:rPr>
                <w:sz w:val="22"/>
                <w:szCs w:val="22"/>
              </w:rPr>
            </w:pPr>
            <w:r w:rsidRPr="00642710">
              <w:rPr>
                <w:b/>
                <w:bCs/>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7C4E6985" w14:textId="77777777" w:rsidR="00642710" w:rsidRPr="00642710" w:rsidRDefault="00642710" w:rsidP="00642710">
            <w:pPr>
              <w:spacing w:after="0" w:line="0" w:lineRule="atLeast"/>
              <w:jc w:val="both"/>
              <w:rPr>
                <w:sz w:val="22"/>
                <w:szCs w:val="22"/>
              </w:rPr>
            </w:pPr>
            <w:r w:rsidRPr="00642710">
              <w:rPr>
                <w:b/>
                <w:bCs/>
                <w:sz w:val="22"/>
                <w:szCs w:val="22"/>
              </w:rPr>
              <w:t>Tiempo</w:t>
            </w:r>
          </w:p>
        </w:tc>
        <w:tc>
          <w:tcPr>
            <w:tcW w:w="0" w:type="auto"/>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67331684" w14:textId="77777777" w:rsidR="00642710" w:rsidRPr="00642710" w:rsidRDefault="00642710" w:rsidP="00642710">
            <w:pPr>
              <w:spacing w:after="0" w:line="0" w:lineRule="atLeast"/>
              <w:jc w:val="both"/>
              <w:rPr>
                <w:sz w:val="22"/>
                <w:szCs w:val="22"/>
              </w:rPr>
            </w:pPr>
            <w:r w:rsidRPr="00642710">
              <w:rPr>
                <w:b/>
                <w:bCs/>
                <w:sz w:val="22"/>
                <w:szCs w:val="22"/>
              </w:rPr>
              <w:t>Responsables</w:t>
            </w:r>
          </w:p>
        </w:tc>
      </w:tr>
      <w:tr w:rsidR="00642710" w:rsidRPr="00642710" w14:paraId="5C7AE799"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67CCB" w14:textId="77777777" w:rsidR="00642710" w:rsidRPr="00642710" w:rsidRDefault="00642710" w:rsidP="00642710">
            <w:pPr>
              <w:spacing w:after="0" w:line="0" w:lineRule="atLeast"/>
              <w:jc w:val="both"/>
              <w:rPr>
                <w:sz w:val="22"/>
                <w:szCs w:val="22"/>
              </w:rPr>
            </w:pPr>
          </w:p>
          <w:p w14:paraId="063E7734" w14:textId="77777777" w:rsidR="00642710" w:rsidRPr="00642710" w:rsidRDefault="00642710" w:rsidP="00642710">
            <w:pPr>
              <w:spacing w:after="0" w:line="0" w:lineRule="atLeast"/>
              <w:jc w:val="both"/>
              <w:rPr>
                <w:sz w:val="22"/>
                <w:szCs w:val="22"/>
              </w:rPr>
            </w:pPr>
            <w:r w:rsidRPr="00642710">
              <w:rPr>
                <w:b/>
                <w:bCs/>
                <w:sz w:val="22"/>
                <w:szCs w:val="22"/>
              </w:rPr>
              <w:t>Conformación de mesa de trabajo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FB852" w14:textId="77777777" w:rsidR="00642710" w:rsidRPr="00642710" w:rsidRDefault="00642710" w:rsidP="00642710">
            <w:pPr>
              <w:spacing w:after="0" w:line="0" w:lineRule="atLeast"/>
              <w:jc w:val="both"/>
              <w:rPr>
                <w:sz w:val="22"/>
                <w:szCs w:val="22"/>
              </w:rPr>
            </w:pPr>
            <w:r w:rsidRPr="00642710">
              <w:rPr>
                <w:sz w:val="22"/>
                <w:szCs w:val="22"/>
              </w:rPr>
              <w:t xml:space="preserve">El </w:t>
            </w:r>
            <w:proofErr w:type="gramStart"/>
            <w:r w:rsidRPr="00642710">
              <w:rPr>
                <w:sz w:val="22"/>
                <w:szCs w:val="22"/>
              </w:rPr>
              <w:t>Director</w:t>
            </w:r>
            <w:proofErr w:type="gramEnd"/>
            <w:r w:rsidRPr="00642710">
              <w:rPr>
                <w:sz w:val="22"/>
                <w:szCs w:val="22"/>
              </w:rPr>
              <w:t xml:space="preserve"> podrá convocar a una mesa de trabajo para analizar la solicitud de reconocimiento de identidad de género del estudiante.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EDEA1" w14:textId="77777777" w:rsidR="00642710" w:rsidRPr="00642710" w:rsidRDefault="00642710" w:rsidP="00642710">
            <w:pPr>
              <w:spacing w:after="0" w:line="0" w:lineRule="atLeast"/>
              <w:jc w:val="both"/>
              <w:rPr>
                <w:sz w:val="22"/>
                <w:szCs w:val="22"/>
              </w:rPr>
            </w:pPr>
            <w:r w:rsidRPr="00642710">
              <w:rPr>
                <w:sz w:val="22"/>
                <w:szCs w:val="22"/>
              </w:rPr>
              <w:t>Máximo 10 días hábiles desde la solicitud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FB335" w14:textId="77777777" w:rsidR="00642710" w:rsidRPr="00642710" w:rsidRDefault="00642710" w:rsidP="00642710">
            <w:pPr>
              <w:spacing w:after="0" w:line="0" w:lineRule="atLeast"/>
              <w:jc w:val="both"/>
              <w:rPr>
                <w:sz w:val="22"/>
                <w:szCs w:val="22"/>
              </w:rPr>
            </w:pPr>
            <w:r w:rsidRPr="00642710">
              <w:rPr>
                <w:sz w:val="22"/>
                <w:szCs w:val="22"/>
              </w:rPr>
              <w:t>Director, Dirección académica, Encargado/a de Convivencia Educativa, otros miembros si corresponde</w:t>
            </w:r>
          </w:p>
        </w:tc>
      </w:tr>
      <w:tr w:rsidR="00642710" w:rsidRPr="00642710" w14:paraId="2F86E2CF"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AF45" w14:textId="77777777" w:rsidR="00642710" w:rsidRPr="00642710" w:rsidRDefault="00642710" w:rsidP="00642710">
            <w:pPr>
              <w:spacing w:after="0" w:line="0" w:lineRule="atLeast"/>
              <w:jc w:val="both"/>
              <w:rPr>
                <w:sz w:val="22"/>
                <w:szCs w:val="22"/>
              </w:rPr>
            </w:pPr>
          </w:p>
          <w:p w14:paraId="7837F056" w14:textId="77777777" w:rsidR="00642710" w:rsidRPr="00642710" w:rsidRDefault="00642710" w:rsidP="00642710">
            <w:pPr>
              <w:spacing w:after="0" w:line="0" w:lineRule="atLeast"/>
              <w:jc w:val="both"/>
              <w:rPr>
                <w:sz w:val="22"/>
                <w:szCs w:val="22"/>
              </w:rPr>
            </w:pPr>
            <w:r w:rsidRPr="00642710">
              <w:rPr>
                <w:b/>
                <w:bCs/>
                <w:sz w:val="22"/>
                <w:szCs w:val="22"/>
              </w:rPr>
              <w:t>Reunión con familia o tutor legal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C0044" w14:textId="77777777" w:rsidR="00642710" w:rsidRPr="00642710" w:rsidRDefault="00642710" w:rsidP="00642710">
            <w:pPr>
              <w:spacing w:after="0" w:line="0" w:lineRule="atLeast"/>
              <w:jc w:val="both"/>
              <w:rPr>
                <w:sz w:val="22"/>
                <w:szCs w:val="22"/>
              </w:rPr>
            </w:pPr>
            <w:r w:rsidRPr="00642710">
              <w:rPr>
                <w:sz w:val="22"/>
                <w:szCs w:val="22"/>
              </w:rPr>
              <w:t xml:space="preserve">Una vez recibidas las sugerencias, el </w:t>
            </w:r>
            <w:proofErr w:type="gramStart"/>
            <w:r w:rsidRPr="00642710">
              <w:rPr>
                <w:sz w:val="22"/>
                <w:szCs w:val="22"/>
              </w:rPr>
              <w:t>Director</w:t>
            </w:r>
            <w:proofErr w:type="gramEnd"/>
            <w:r w:rsidRPr="00642710">
              <w:rPr>
                <w:sz w:val="22"/>
                <w:szCs w:val="22"/>
              </w:rPr>
              <w:t xml:space="preserve"> citará a padre/madre/tutor para compartirlas y acordar pasos a seguir.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EF46" w14:textId="77777777" w:rsidR="00642710" w:rsidRPr="00642710" w:rsidRDefault="00642710" w:rsidP="00642710">
            <w:pPr>
              <w:spacing w:after="0" w:line="0" w:lineRule="atLeast"/>
              <w:jc w:val="both"/>
              <w:rPr>
                <w:sz w:val="22"/>
                <w:szCs w:val="22"/>
              </w:rPr>
            </w:pPr>
            <w:r w:rsidRPr="00642710">
              <w:rPr>
                <w:sz w:val="22"/>
                <w:szCs w:val="22"/>
              </w:rPr>
              <w:t>Tras el análisis de la mesa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F73E" w14:textId="77777777" w:rsidR="00642710" w:rsidRPr="00642710" w:rsidRDefault="00642710" w:rsidP="00642710">
            <w:pPr>
              <w:spacing w:after="0" w:line="0" w:lineRule="atLeast"/>
              <w:jc w:val="both"/>
              <w:rPr>
                <w:sz w:val="22"/>
                <w:szCs w:val="22"/>
              </w:rPr>
            </w:pPr>
            <w:r w:rsidRPr="00642710">
              <w:rPr>
                <w:sz w:val="22"/>
                <w:szCs w:val="22"/>
              </w:rPr>
              <w:t>Director, Encargado/a de Convivencia Escolar, otros miembros si corresponde</w:t>
            </w:r>
          </w:p>
        </w:tc>
      </w:tr>
      <w:tr w:rsidR="00642710" w:rsidRPr="00642710" w14:paraId="2DF867BB"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7FE82" w14:textId="77777777" w:rsidR="00642710" w:rsidRPr="00642710" w:rsidRDefault="00642710" w:rsidP="00642710">
            <w:pPr>
              <w:spacing w:after="0" w:line="0" w:lineRule="atLeast"/>
              <w:jc w:val="both"/>
              <w:rPr>
                <w:sz w:val="22"/>
                <w:szCs w:val="22"/>
              </w:rPr>
            </w:pPr>
          </w:p>
          <w:p w14:paraId="01AB9CDE" w14:textId="77777777" w:rsidR="00642710" w:rsidRPr="00642710" w:rsidRDefault="00642710" w:rsidP="00642710">
            <w:pPr>
              <w:spacing w:after="0" w:line="0" w:lineRule="atLeast"/>
              <w:jc w:val="both"/>
              <w:rPr>
                <w:sz w:val="22"/>
                <w:szCs w:val="22"/>
              </w:rPr>
            </w:pPr>
            <w:r w:rsidRPr="00642710">
              <w:rPr>
                <w:b/>
                <w:bCs/>
                <w:sz w:val="22"/>
                <w:szCs w:val="22"/>
              </w:rPr>
              <w:t>Apoyo y acompañamiento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DA9BF" w14:textId="77777777" w:rsidR="00642710" w:rsidRPr="00642710" w:rsidRDefault="00642710" w:rsidP="00642710">
            <w:pPr>
              <w:spacing w:after="0" w:line="0" w:lineRule="atLeast"/>
              <w:jc w:val="both"/>
              <w:rPr>
                <w:sz w:val="22"/>
                <w:szCs w:val="22"/>
              </w:rPr>
            </w:pPr>
            <w:r w:rsidRPr="00642710">
              <w:rPr>
                <w:sz w:val="22"/>
                <w:szCs w:val="22"/>
              </w:rPr>
              <w:t>Coordinación entre profesor jefe, estudiante y familia para implementar acciones psicosociales y socioeducativas.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5C79A" w14:textId="77777777" w:rsidR="00642710" w:rsidRPr="00642710" w:rsidRDefault="00642710" w:rsidP="00642710">
            <w:pPr>
              <w:spacing w:after="0" w:line="0" w:lineRule="atLeast"/>
              <w:jc w:val="both"/>
              <w:rPr>
                <w:sz w:val="22"/>
                <w:szCs w:val="22"/>
              </w:rPr>
            </w:pPr>
            <w:r w:rsidRPr="00642710">
              <w:rPr>
                <w:sz w:val="22"/>
                <w:szCs w:val="22"/>
              </w:rPr>
              <w:t>Permanente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26CD" w14:textId="77777777" w:rsidR="00642710" w:rsidRPr="00642710" w:rsidRDefault="00642710" w:rsidP="00642710">
            <w:pPr>
              <w:spacing w:after="0" w:line="0" w:lineRule="atLeast"/>
              <w:jc w:val="both"/>
              <w:rPr>
                <w:sz w:val="22"/>
                <w:szCs w:val="22"/>
              </w:rPr>
            </w:pPr>
            <w:r w:rsidRPr="00642710">
              <w:rPr>
                <w:sz w:val="22"/>
                <w:szCs w:val="22"/>
              </w:rPr>
              <w:t>Profesor jefe, familia, equipos psicosociales</w:t>
            </w:r>
          </w:p>
        </w:tc>
      </w:tr>
      <w:tr w:rsidR="00642710" w:rsidRPr="00642710" w14:paraId="59EBBF59"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041EF" w14:textId="77777777" w:rsidR="00642710" w:rsidRPr="00642710" w:rsidRDefault="00642710" w:rsidP="00642710">
            <w:pPr>
              <w:spacing w:after="0" w:line="0" w:lineRule="atLeast"/>
              <w:jc w:val="both"/>
              <w:rPr>
                <w:sz w:val="22"/>
                <w:szCs w:val="22"/>
              </w:rPr>
            </w:pPr>
          </w:p>
          <w:p w14:paraId="5DDE2EDC" w14:textId="77777777" w:rsidR="00642710" w:rsidRPr="00642710" w:rsidRDefault="00642710" w:rsidP="00642710">
            <w:pPr>
              <w:spacing w:after="0" w:line="0" w:lineRule="atLeast"/>
              <w:jc w:val="both"/>
              <w:rPr>
                <w:sz w:val="22"/>
                <w:szCs w:val="22"/>
              </w:rPr>
            </w:pPr>
            <w:r w:rsidRPr="00642710">
              <w:rPr>
                <w:b/>
                <w:bCs/>
                <w:sz w:val="22"/>
                <w:szCs w:val="22"/>
              </w:rPr>
              <w:t>Coordinación con programas externos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8A13D" w14:textId="77777777" w:rsidR="00642710" w:rsidRPr="00642710" w:rsidRDefault="00642710" w:rsidP="00642710">
            <w:pPr>
              <w:spacing w:after="0" w:line="0" w:lineRule="atLeast"/>
              <w:jc w:val="both"/>
              <w:rPr>
                <w:sz w:val="22"/>
                <w:szCs w:val="22"/>
              </w:rPr>
            </w:pPr>
            <w:r w:rsidRPr="00642710">
              <w:rPr>
                <w:sz w:val="22"/>
                <w:szCs w:val="22"/>
              </w:rPr>
              <w:t>En caso de que el estudiante participe en programas de acompañamiento, se facilitarán las coordinaciones con entidades externas.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E698A" w14:textId="77777777" w:rsidR="00642710" w:rsidRPr="00642710" w:rsidRDefault="00642710" w:rsidP="00642710">
            <w:pPr>
              <w:spacing w:after="0" w:line="0" w:lineRule="atLeast"/>
              <w:jc w:val="both"/>
              <w:rPr>
                <w:sz w:val="22"/>
                <w:szCs w:val="22"/>
              </w:rPr>
            </w:pPr>
            <w:r w:rsidRPr="00642710">
              <w:rPr>
                <w:sz w:val="22"/>
                <w:szCs w:val="22"/>
              </w:rPr>
              <w:t>Durante el proceso del estudiante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3BECF" w14:textId="77777777" w:rsidR="00642710" w:rsidRPr="00642710" w:rsidRDefault="00642710" w:rsidP="00642710">
            <w:pPr>
              <w:spacing w:after="0" w:line="0" w:lineRule="atLeast"/>
              <w:jc w:val="both"/>
              <w:rPr>
                <w:sz w:val="22"/>
                <w:szCs w:val="22"/>
              </w:rPr>
            </w:pPr>
            <w:r w:rsidRPr="00642710">
              <w:rPr>
                <w:sz w:val="22"/>
                <w:szCs w:val="22"/>
              </w:rPr>
              <w:t>Convivencia Educativa</w:t>
            </w:r>
          </w:p>
        </w:tc>
      </w:tr>
      <w:tr w:rsidR="00642710" w:rsidRPr="00642710" w14:paraId="4ED0EFB5"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8A35B" w14:textId="77777777" w:rsidR="00642710" w:rsidRPr="00642710" w:rsidRDefault="00642710" w:rsidP="00642710">
            <w:pPr>
              <w:spacing w:after="0" w:line="0" w:lineRule="atLeast"/>
              <w:jc w:val="both"/>
              <w:rPr>
                <w:sz w:val="22"/>
                <w:szCs w:val="22"/>
              </w:rPr>
            </w:pPr>
            <w:r w:rsidRPr="00642710">
              <w:rPr>
                <w:b/>
                <w:bCs/>
                <w:sz w:val="22"/>
                <w:szCs w:val="22"/>
              </w:rPr>
              <w:t>Espacios de reflexión y capacitación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FB4BA" w14:textId="77777777" w:rsidR="00642710" w:rsidRPr="00642710" w:rsidRDefault="00642710" w:rsidP="00642710">
            <w:pPr>
              <w:spacing w:after="0" w:line="0" w:lineRule="atLeast"/>
              <w:jc w:val="both"/>
              <w:rPr>
                <w:sz w:val="22"/>
                <w:szCs w:val="22"/>
              </w:rPr>
            </w:pPr>
            <w:r w:rsidRPr="00642710">
              <w:rPr>
                <w:sz w:val="22"/>
                <w:szCs w:val="22"/>
              </w:rPr>
              <w:t>Promover orientación, capacitación y apoyo a la comunidad educativa para garantizar los derechos de estudiantes transgénero.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4EECE" w14:textId="77777777" w:rsidR="00642710" w:rsidRPr="00642710" w:rsidRDefault="00642710" w:rsidP="00642710">
            <w:pPr>
              <w:spacing w:after="0" w:line="0" w:lineRule="atLeast"/>
              <w:jc w:val="both"/>
              <w:rPr>
                <w:sz w:val="22"/>
                <w:szCs w:val="22"/>
              </w:rPr>
            </w:pPr>
            <w:r w:rsidRPr="00642710">
              <w:rPr>
                <w:sz w:val="22"/>
                <w:szCs w:val="22"/>
              </w:rPr>
              <w:t>Periódico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A2743" w14:textId="77777777" w:rsidR="00642710" w:rsidRPr="00642710" w:rsidRDefault="00642710" w:rsidP="00642710">
            <w:pPr>
              <w:spacing w:after="0" w:line="0" w:lineRule="atLeast"/>
              <w:jc w:val="both"/>
              <w:rPr>
                <w:sz w:val="22"/>
                <w:szCs w:val="22"/>
              </w:rPr>
            </w:pPr>
            <w:r w:rsidRPr="00642710">
              <w:rPr>
                <w:sz w:val="22"/>
                <w:szCs w:val="22"/>
              </w:rPr>
              <w:t>Autoridades del establecimiento, comunidad educativa</w:t>
            </w:r>
          </w:p>
        </w:tc>
      </w:tr>
      <w:tr w:rsidR="00642710" w:rsidRPr="00642710" w14:paraId="4A55A8E3"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8DFB4" w14:textId="77777777" w:rsidR="00642710" w:rsidRPr="00642710" w:rsidRDefault="00642710" w:rsidP="00642710">
            <w:pPr>
              <w:spacing w:after="0" w:line="0" w:lineRule="atLeast"/>
              <w:jc w:val="both"/>
              <w:rPr>
                <w:sz w:val="22"/>
                <w:szCs w:val="22"/>
              </w:rPr>
            </w:pPr>
          </w:p>
          <w:p w14:paraId="5DFACAEA" w14:textId="77777777" w:rsidR="00642710" w:rsidRPr="00642710" w:rsidRDefault="00642710" w:rsidP="00642710">
            <w:pPr>
              <w:spacing w:after="0" w:line="0" w:lineRule="atLeast"/>
              <w:jc w:val="both"/>
              <w:rPr>
                <w:sz w:val="22"/>
                <w:szCs w:val="22"/>
              </w:rPr>
            </w:pPr>
            <w:r w:rsidRPr="00642710">
              <w:rPr>
                <w:b/>
                <w:bCs/>
                <w:sz w:val="22"/>
                <w:szCs w:val="22"/>
              </w:rPr>
              <w:t>Uso del nombre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75AA1" w14:textId="77777777" w:rsidR="00642710" w:rsidRPr="00642710" w:rsidRDefault="00642710" w:rsidP="00642710">
            <w:pPr>
              <w:spacing w:after="0" w:line="0" w:lineRule="atLeast"/>
              <w:jc w:val="both"/>
              <w:rPr>
                <w:sz w:val="22"/>
                <w:szCs w:val="22"/>
              </w:rPr>
            </w:pPr>
            <w:r w:rsidRPr="00642710">
              <w:rPr>
                <w:sz w:val="22"/>
                <w:szCs w:val="22"/>
              </w:rPr>
              <w:t>Instruir a los adultos responsables del estudiante para usar el nombre social en espacios educativos. Solicitud debe venir de familia o estudiante mayor de edad.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CDAB5" w14:textId="77777777" w:rsidR="00642710" w:rsidRPr="00642710" w:rsidRDefault="00642710" w:rsidP="00642710">
            <w:pPr>
              <w:spacing w:after="0" w:line="0" w:lineRule="atLeast"/>
              <w:jc w:val="both"/>
              <w:rPr>
                <w:sz w:val="22"/>
                <w:szCs w:val="22"/>
              </w:rPr>
            </w:pPr>
            <w:r w:rsidRPr="00642710">
              <w:rPr>
                <w:sz w:val="22"/>
                <w:szCs w:val="22"/>
              </w:rPr>
              <w:t>Al recibir solicitud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344A" w14:textId="77777777" w:rsidR="00642710" w:rsidRPr="00642710" w:rsidRDefault="00642710" w:rsidP="00642710">
            <w:pPr>
              <w:spacing w:after="0" w:line="0" w:lineRule="atLeast"/>
              <w:jc w:val="both"/>
              <w:rPr>
                <w:sz w:val="22"/>
                <w:szCs w:val="22"/>
              </w:rPr>
            </w:pPr>
            <w:r w:rsidRPr="00642710">
              <w:rPr>
                <w:sz w:val="22"/>
                <w:szCs w:val="22"/>
              </w:rPr>
              <w:t>Autoridades del establecimiento, docentes, funcionarios</w:t>
            </w:r>
          </w:p>
        </w:tc>
      </w:tr>
      <w:tr w:rsidR="00642710" w:rsidRPr="00642710" w14:paraId="66506F6F"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CFA89" w14:textId="77777777" w:rsidR="00642710" w:rsidRPr="00642710" w:rsidRDefault="00642710" w:rsidP="00642710">
            <w:pPr>
              <w:spacing w:after="0" w:line="0" w:lineRule="atLeast"/>
              <w:jc w:val="both"/>
              <w:rPr>
                <w:sz w:val="22"/>
                <w:szCs w:val="22"/>
              </w:rPr>
            </w:pPr>
          </w:p>
          <w:p w14:paraId="65642D16" w14:textId="77777777" w:rsidR="00642710" w:rsidRPr="00642710" w:rsidRDefault="00642710" w:rsidP="00642710">
            <w:pPr>
              <w:spacing w:after="0" w:line="0" w:lineRule="atLeast"/>
              <w:jc w:val="both"/>
              <w:rPr>
                <w:sz w:val="22"/>
                <w:szCs w:val="22"/>
              </w:rPr>
            </w:pPr>
            <w:r w:rsidRPr="00642710">
              <w:rPr>
                <w:b/>
                <w:bCs/>
                <w:sz w:val="22"/>
                <w:szCs w:val="22"/>
              </w:rPr>
              <w:t>Incorporación del nombre social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2A498" w14:textId="77777777" w:rsidR="00642710" w:rsidRPr="00642710" w:rsidRDefault="00642710" w:rsidP="00642710">
            <w:pPr>
              <w:spacing w:after="0" w:line="0" w:lineRule="atLeast"/>
              <w:jc w:val="both"/>
              <w:rPr>
                <w:sz w:val="22"/>
                <w:szCs w:val="22"/>
              </w:rPr>
            </w:pPr>
            <w:r w:rsidRPr="00642710">
              <w:rPr>
                <w:sz w:val="22"/>
                <w:szCs w:val="22"/>
              </w:rPr>
              <w:t xml:space="preserve">Agregar el nombre social en documentos no oficiales (informes, </w:t>
            </w:r>
            <w:r w:rsidRPr="00642710">
              <w:rPr>
                <w:sz w:val="22"/>
                <w:szCs w:val="22"/>
              </w:rPr>
              <w:lastRenderedPageBreak/>
              <w:t>comunicaciones, listados) y facilitar su uso cotidiano.</w:t>
            </w:r>
          </w:p>
          <w:p w14:paraId="7F1141DE" w14:textId="77777777" w:rsidR="00642710" w:rsidRPr="00642710" w:rsidRDefault="00642710" w:rsidP="00642710">
            <w:pPr>
              <w:spacing w:after="0" w:line="0" w:lineRule="atLeast"/>
              <w:jc w:val="both"/>
              <w:rPr>
                <w:sz w:val="22"/>
                <w:szCs w:val="22"/>
              </w:rPr>
            </w:pPr>
            <w:r w:rsidRPr="00642710">
              <w:rPr>
                <w:sz w:val="22"/>
                <w:szCs w:val="22"/>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8DC01" w14:textId="77777777" w:rsidR="00642710" w:rsidRPr="00642710" w:rsidRDefault="00642710" w:rsidP="00642710">
            <w:pPr>
              <w:spacing w:after="0" w:line="0" w:lineRule="atLeast"/>
              <w:jc w:val="both"/>
              <w:rPr>
                <w:sz w:val="22"/>
                <w:szCs w:val="22"/>
              </w:rPr>
            </w:pPr>
            <w:r w:rsidRPr="00642710">
              <w:rPr>
                <w:sz w:val="22"/>
                <w:szCs w:val="22"/>
              </w:rPr>
              <w:lastRenderedPageBreak/>
              <w:t>A solicitud de la familia/estudiante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D0407" w14:textId="77777777" w:rsidR="00642710" w:rsidRPr="00642710" w:rsidRDefault="00642710" w:rsidP="00642710">
            <w:pPr>
              <w:spacing w:after="0" w:line="0" w:lineRule="atLeast"/>
              <w:jc w:val="both"/>
              <w:rPr>
                <w:sz w:val="22"/>
                <w:szCs w:val="22"/>
              </w:rPr>
            </w:pPr>
            <w:r w:rsidRPr="00642710">
              <w:rPr>
                <w:sz w:val="22"/>
                <w:szCs w:val="22"/>
              </w:rPr>
              <w:t>Dirección del establecimiento, docentes</w:t>
            </w:r>
          </w:p>
        </w:tc>
      </w:tr>
      <w:tr w:rsidR="00642710" w:rsidRPr="00642710" w14:paraId="19CC674C"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FEEEF" w14:textId="77777777" w:rsidR="00642710" w:rsidRPr="00642710" w:rsidRDefault="00642710" w:rsidP="00642710">
            <w:pPr>
              <w:spacing w:after="0" w:line="0" w:lineRule="atLeast"/>
              <w:jc w:val="both"/>
              <w:rPr>
                <w:sz w:val="22"/>
                <w:szCs w:val="22"/>
              </w:rPr>
            </w:pPr>
          </w:p>
          <w:p w14:paraId="620E1918" w14:textId="77777777" w:rsidR="00642710" w:rsidRPr="00642710" w:rsidRDefault="00642710" w:rsidP="00642710">
            <w:pPr>
              <w:spacing w:after="0" w:line="0" w:lineRule="atLeast"/>
              <w:jc w:val="both"/>
              <w:rPr>
                <w:sz w:val="22"/>
                <w:szCs w:val="22"/>
              </w:rPr>
            </w:pPr>
            <w:r w:rsidRPr="00642710">
              <w:rPr>
                <w:b/>
                <w:bCs/>
                <w:sz w:val="22"/>
                <w:szCs w:val="22"/>
              </w:rPr>
              <w:t>Uso del uniforme y accesorios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5987E" w14:textId="77777777" w:rsidR="00642710" w:rsidRPr="00642710" w:rsidRDefault="00642710" w:rsidP="00642710">
            <w:pPr>
              <w:spacing w:after="0" w:line="0" w:lineRule="atLeast"/>
              <w:jc w:val="both"/>
              <w:rPr>
                <w:sz w:val="22"/>
                <w:szCs w:val="22"/>
              </w:rPr>
            </w:pPr>
            <w:r w:rsidRPr="00642710">
              <w:rPr>
                <w:sz w:val="22"/>
                <w:szCs w:val="22"/>
              </w:rPr>
              <w:t>Garantizar que el estudiante pueda usar uniforme, ropa deportiva y accesorios adecuados a su identidad de género.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7ED64" w14:textId="77777777" w:rsidR="00642710" w:rsidRPr="00642710" w:rsidRDefault="00642710" w:rsidP="00642710">
            <w:pPr>
              <w:spacing w:after="0" w:line="0" w:lineRule="atLeast"/>
              <w:jc w:val="both"/>
              <w:rPr>
                <w:sz w:val="22"/>
                <w:szCs w:val="22"/>
              </w:rPr>
            </w:pPr>
            <w:r w:rsidRPr="00642710">
              <w:rPr>
                <w:sz w:val="22"/>
                <w:szCs w:val="22"/>
              </w:rPr>
              <w:t>Permanente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B0A70" w14:textId="77777777" w:rsidR="00642710" w:rsidRPr="00642710" w:rsidRDefault="00642710" w:rsidP="00642710">
            <w:pPr>
              <w:spacing w:after="0" w:line="0" w:lineRule="atLeast"/>
              <w:jc w:val="both"/>
              <w:rPr>
                <w:sz w:val="22"/>
                <w:szCs w:val="22"/>
              </w:rPr>
            </w:pPr>
            <w:r w:rsidRPr="00642710">
              <w:rPr>
                <w:sz w:val="22"/>
                <w:szCs w:val="22"/>
              </w:rPr>
              <w:t>Establecimiento, profesor jefe</w:t>
            </w:r>
          </w:p>
        </w:tc>
      </w:tr>
      <w:tr w:rsidR="00642710" w:rsidRPr="00642710" w14:paraId="6C32B118"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384B5" w14:textId="77777777" w:rsidR="00642710" w:rsidRPr="00642710" w:rsidRDefault="00642710" w:rsidP="00642710">
            <w:pPr>
              <w:spacing w:after="0" w:line="0" w:lineRule="atLeast"/>
              <w:jc w:val="both"/>
              <w:rPr>
                <w:sz w:val="22"/>
                <w:szCs w:val="22"/>
              </w:rPr>
            </w:pPr>
          </w:p>
          <w:p w14:paraId="0926F324" w14:textId="77777777" w:rsidR="00642710" w:rsidRPr="00642710" w:rsidRDefault="00642710" w:rsidP="00642710">
            <w:pPr>
              <w:spacing w:after="0" w:line="0" w:lineRule="atLeast"/>
              <w:jc w:val="both"/>
              <w:rPr>
                <w:sz w:val="22"/>
                <w:szCs w:val="22"/>
              </w:rPr>
            </w:pPr>
            <w:r w:rsidRPr="00642710">
              <w:rPr>
                <w:b/>
                <w:bCs/>
                <w:sz w:val="22"/>
                <w:szCs w:val="22"/>
              </w:rPr>
              <w:t>Adecuación de baños y duchas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A6852" w14:textId="77777777" w:rsidR="00642710" w:rsidRPr="00642710" w:rsidRDefault="00642710" w:rsidP="00642710">
            <w:pPr>
              <w:spacing w:after="0" w:line="0" w:lineRule="atLeast"/>
              <w:jc w:val="both"/>
              <w:rPr>
                <w:sz w:val="22"/>
                <w:szCs w:val="22"/>
              </w:rPr>
            </w:pPr>
            <w:r w:rsidRPr="00642710">
              <w:rPr>
                <w:sz w:val="22"/>
                <w:szCs w:val="22"/>
              </w:rPr>
              <w:t>Facilitar el uso de baños y duchas según las necesidades del estudiante, acordando alternativas con la familia.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0ED20" w14:textId="77777777" w:rsidR="00642710" w:rsidRPr="00642710" w:rsidRDefault="00642710" w:rsidP="00642710">
            <w:pPr>
              <w:spacing w:after="0" w:line="0" w:lineRule="atLeast"/>
              <w:jc w:val="both"/>
              <w:rPr>
                <w:sz w:val="22"/>
                <w:szCs w:val="22"/>
              </w:rPr>
            </w:pPr>
            <w:r w:rsidRPr="00642710">
              <w:rPr>
                <w:sz w:val="22"/>
                <w:szCs w:val="22"/>
              </w:rPr>
              <w:t>Durante el proceso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5CE93" w14:textId="77777777" w:rsidR="00642710" w:rsidRPr="00642710" w:rsidRDefault="00642710" w:rsidP="00642710">
            <w:pPr>
              <w:spacing w:after="0" w:line="0" w:lineRule="atLeast"/>
              <w:jc w:val="both"/>
              <w:rPr>
                <w:sz w:val="22"/>
                <w:szCs w:val="22"/>
              </w:rPr>
            </w:pPr>
            <w:r w:rsidRPr="00642710">
              <w:rPr>
                <w:sz w:val="22"/>
                <w:szCs w:val="22"/>
              </w:rPr>
              <w:t>Establecimiento, familia</w:t>
            </w:r>
          </w:p>
        </w:tc>
      </w:tr>
      <w:tr w:rsidR="00642710" w:rsidRPr="00642710" w14:paraId="238BD095" w14:textId="77777777" w:rsidTr="0064271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0E1CC" w14:textId="77777777" w:rsidR="00642710" w:rsidRPr="00642710" w:rsidRDefault="00642710" w:rsidP="00642710">
            <w:pPr>
              <w:spacing w:after="0" w:line="0" w:lineRule="atLeast"/>
              <w:jc w:val="both"/>
              <w:rPr>
                <w:sz w:val="22"/>
                <w:szCs w:val="22"/>
              </w:rPr>
            </w:pPr>
          </w:p>
          <w:p w14:paraId="55A34785" w14:textId="77777777" w:rsidR="00642710" w:rsidRPr="00642710" w:rsidRDefault="00642710" w:rsidP="00642710">
            <w:pPr>
              <w:spacing w:after="0" w:line="0" w:lineRule="atLeast"/>
              <w:jc w:val="both"/>
              <w:rPr>
                <w:sz w:val="22"/>
                <w:szCs w:val="22"/>
              </w:rPr>
            </w:pPr>
            <w:r w:rsidRPr="00642710">
              <w:rPr>
                <w:b/>
                <w:bCs/>
                <w:sz w:val="22"/>
                <w:szCs w:val="22"/>
              </w:rPr>
              <w:t>Cumplimiento de derechos y obligaciones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B8F42" w14:textId="77777777" w:rsidR="00642710" w:rsidRPr="00642710" w:rsidRDefault="00642710" w:rsidP="00642710">
            <w:pPr>
              <w:spacing w:after="0" w:line="0" w:lineRule="atLeast"/>
              <w:jc w:val="both"/>
              <w:rPr>
                <w:sz w:val="22"/>
                <w:szCs w:val="22"/>
              </w:rPr>
            </w:pPr>
            <w:r w:rsidRPr="00642710">
              <w:rPr>
                <w:sz w:val="22"/>
                <w:szCs w:val="22"/>
              </w:rPr>
              <w:t>Toda la comunidad educativa debe respetar los derechos de los estudiantes transgénero y cumplir el protocolo.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3BDEE" w14:textId="77777777" w:rsidR="00642710" w:rsidRPr="00642710" w:rsidRDefault="00642710" w:rsidP="00642710">
            <w:pPr>
              <w:spacing w:after="0" w:line="0" w:lineRule="atLeast"/>
              <w:jc w:val="both"/>
              <w:rPr>
                <w:sz w:val="22"/>
                <w:szCs w:val="22"/>
              </w:rPr>
            </w:pPr>
            <w:r w:rsidRPr="00642710">
              <w:rPr>
                <w:sz w:val="22"/>
                <w:szCs w:val="22"/>
              </w:rPr>
              <w:t>Permanente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A1D1D" w14:textId="77777777" w:rsidR="00642710" w:rsidRPr="00642710" w:rsidRDefault="00642710" w:rsidP="00642710">
            <w:pPr>
              <w:spacing w:after="0" w:line="0" w:lineRule="atLeast"/>
              <w:jc w:val="both"/>
              <w:rPr>
                <w:sz w:val="22"/>
                <w:szCs w:val="22"/>
              </w:rPr>
            </w:pPr>
            <w:r w:rsidRPr="00642710">
              <w:rPr>
                <w:sz w:val="22"/>
                <w:szCs w:val="22"/>
              </w:rPr>
              <w:t>Directivos, docentes, asistentes, auxiliares y comunidad educativa</w:t>
            </w:r>
          </w:p>
        </w:tc>
      </w:tr>
    </w:tbl>
    <w:p w14:paraId="45CD9EF3" w14:textId="77777777" w:rsidR="00642710" w:rsidRPr="00642710" w:rsidRDefault="00642710" w:rsidP="00642710">
      <w:pPr>
        <w:spacing w:after="0" w:line="0" w:lineRule="atLeast"/>
        <w:jc w:val="both"/>
      </w:pPr>
    </w:p>
    <w:p w14:paraId="7C579A4E" w14:textId="77777777" w:rsidR="00642710" w:rsidRPr="00642710" w:rsidRDefault="00642710" w:rsidP="00642710">
      <w:pPr>
        <w:jc w:val="both"/>
      </w:pPr>
      <w:r w:rsidRPr="00642710">
        <w:t xml:space="preserve">La implementación del protocolo de reconocimiento de identidad de género en instituciones educativas chilenas, como el Liceo Alto Jahuel, está alineada con la normativa vigente establecida en la Ley </w:t>
      </w:r>
      <w:proofErr w:type="spellStart"/>
      <w:r w:rsidRPr="00642710">
        <w:t>N°</w:t>
      </w:r>
      <w:proofErr w:type="spellEnd"/>
      <w:r w:rsidRPr="00642710">
        <w:t xml:space="preserve"> 21.120 y otras disposiciones complementarias. Este cuerpo normativo tiene como propósito resguardar el interés superior del niño, niña o adolescente (NNA), garantizando su dignidad, privacidad e integridad física y psicológica en el contexto escolar.</w:t>
      </w:r>
    </w:p>
    <w:p w14:paraId="47C78DDC" w14:textId="77777777" w:rsidR="00642710" w:rsidRPr="00642710" w:rsidRDefault="00642710" w:rsidP="00642710">
      <w:pPr>
        <w:jc w:val="both"/>
      </w:pPr>
      <w:r w:rsidRPr="00642710">
        <w:t>De este modo, el cumplimiento de estas acciones no solo responde a un marco legal, sino que también refuerza el compromiso de las instituciones educativas con una educación inclusiva y de calidad, en concordancia con principios fundamentales de derechos humanos y de no discriminación consagrados en la legislación chilena y en tratados internacionales.</w:t>
      </w:r>
    </w:p>
    <w:p w14:paraId="761ADA59" w14:textId="77777777" w:rsidR="00273379" w:rsidRDefault="00273379" w:rsidP="00642710">
      <w:pPr>
        <w:jc w:val="both"/>
      </w:pPr>
    </w:p>
    <w:sectPr w:rsidR="0027337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9402" w14:textId="77777777" w:rsidR="00273379" w:rsidRDefault="00273379" w:rsidP="00273379">
      <w:pPr>
        <w:spacing w:after="0" w:line="240" w:lineRule="auto"/>
      </w:pPr>
      <w:r>
        <w:separator/>
      </w:r>
    </w:p>
  </w:endnote>
  <w:endnote w:type="continuationSeparator" w:id="0">
    <w:p w14:paraId="2F8B268E" w14:textId="77777777" w:rsidR="00273379" w:rsidRDefault="00273379" w:rsidP="0027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AD849" w14:textId="77777777" w:rsidR="00273379" w:rsidRDefault="00273379" w:rsidP="00273379">
      <w:pPr>
        <w:spacing w:after="0" w:line="240" w:lineRule="auto"/>
      </w:pPr>
      <w:r>
        <w:separator/>
      </w:r>
    </w:p>
  </w:footnote>
  <w:footnote w:type="continuationSeparator" w:id="0">
    <w:p w14:paraId="41EC6708" w14:textId="77777777" w:rsidR="00273379" w:rsidRDefault="00273379" w:rsidP="0027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E699" w14:textId="77777777" w:rsidR="00273379" w:rsidRPr="00242B94" w:rsidRDefault="00273379" w:rsidP="00273379">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2E96436B" wp14:editId="55A5367D">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3E28325A" wp14:editId="2720717A">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4A834F6D" w14:textId="77777777" w:rsidR="00273379" w:rsidRPr="00242B94" w:rsidRDefault="00273379" w:rsidP="00273379">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2971306B" w14:textId="443ACD85" w:rsidR="00273379" w:rsidRPr="00273379" w:rsidRDefault="00273379" w:rsidP="00273379">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243CE"/>
    <w:multiLevelType w:val="hybridMultilevel"/>
    <w:tmpl w:val="80A48216"/>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BEB1873"/>
    <w:multiLevelType w:val="multilevel"/>
    <w:tmpl w:val="372C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128120">
    <w:abstractNumId w:val="1"/>
  </w:num>
  <w:num w:numId="2" w16cid:durableId="53431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79"/>
    <w:rsid w:val="00273379"/>
    <w:rsid w:val="00642710"/>
    <w:rsid w:val="00F31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B626"/>
  <w15:chartTrackingRefBased/>
  <w15:docId w15:val="{9F2F5176-34F5-4210-8E82-8C2BA75B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3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3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33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33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33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33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33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33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33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3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33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33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33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33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33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33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33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3379"/>
    <w:rPr>
      <w:rFonts w:eastAsiaTheme="majorEastAsia" w:cstheme="majorBidi"/>
      <w:color w:val="272727" w:themeColor="text1" w:themeTint="D8"/>
    </w:rPr>
  </w:style>
  <w:style w:type="paragraph" w:styleId="Ttulo">
    <w:name w:val="Title"/>
    <w:basedOn w:val="Normal"/>
    <w:next w:val="Normal"/>
    <w:link w:val="TtuloCar"/>
    <w:uiPriority w:val="10"/>
    <w:qFormat/>
    <w:rsid w:val="00273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33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33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33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3379"/>
    <w:pPr>
      <w:spacing w:before="160"/>
      <w:jc w:val="center"/>
    </w:pPr>
    <w:rPr>
      <w:i/>
      <w:iCs/>
      <w:color w:val="404040" w:themeColor="text1" w:themeTint="BF"/>
    </w:rPr>
  </w:style>
  <w:style w:type="character" w:customStyle="1" w:styleId="CitaCar">
    <w:name w:val="Cita Car"/>
    <w:basedOn w:val="Fuentedeprrafopredeter"/>
    <w:link w:val="Cita"/>
    <w:uiPriority w:val="29"/>
    <w:rsid w:val="00273379"/>
    <w:rPr>
      <w:i/>
      <w:iCs/>
      <w:color w:val="404040" w:themeColor="text1" w:themeTint="BF"/>
    </w:rPr>
  </w:style>
  <w:style w:type="paragraph" w:styleId="Prrafodelista">
    <w:name w:val="List Paragraph"/>
    <w:basedOn w:val="Normal"/>
    <w:uiPriority w:val="34"/>
    <w:qFormat/>
    <w:rsid w:val="00273379"/>
    <w:pPr>
      <w:ind w:left="720"/>
      <w:contextualSpacing/>
    </w:pPr>
  </w:style>
  <w:style w:type="character" w:styleId="nfasisintenso">
    <w:name w:val="Intense Emphasis"/>
    <w:basedOn w:val="Fuentedeprrafopredeter"/>
    <w:uiPriority w:val="21"/>
    <w:qFormat/>
    <w:rsid w:val="00273379"/>
    <w:rPr>
      <w:i/>
      <w:iCs/>
      <w:color w:val="0F4761" w:themeColor="accent1" w:themeShade="BF"/>
    </w:rPr>
  </w:style>
  <w:style w:type="paragraph" w:styleId="Citadestacada">
    <w:name w:val="Intense Quote"/>
    <w:basedOn w:val="Normal"/>
    <w:next w:val="Normal"/>
    <w:link w:val="CitadestacadaCar"/>
    <w:uiPriority w:val="30"/>
    <w:qFormat/>
    <w:rsid w:val="00273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3379"/>
    <w:rPr>
      <w:i/>
      <w:iCs/>
      <w:color w:val="0F4761" w:themeColor="accent1" w:themeShade="BF"/>
    </w:rPr>
  </w:style>
  <w:style w:type="character" w:styleId="Referenciaintensa">
    <w:name w:val="Intense Reference"/>
    <w:basedOn w:val="Fuentedeprrafopredeter"/>
    <w:uiPriority w:val="32"/>
    <w:qFormat/>
    <w:rsid w:val="00273379"/>
    <w:rPr>
      <w:b/>
      <w:bCs/>
      <w:smallCaps/>
      <w:color w:val="0F4761" w:themeColor="accent1" w:themeShade="BF"/>
      <w:spacing w:val="5"/>
    </w:rPr>
  </w:style>
  <w:style w:type="paragraph" w:styleId="Encabezado">
    <w:name w:val="header"/>
    <w:basedOn w:val="Normal"/>
    <w:link w:val="EncabezadoCar"/>
    <w:uiPriority w:val="99"/>
    <w:unhideWhenUsed/>
    <w:rsid w:val="002733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379"/>
  </w:style>
  <w:style w:type="paragraph" w:styleId="Piedepgina">
    <w:name w:val="footer"/>
    <w:basedOn w:val="Normal"/>
    <w:link w:val="PiedepginaCar"/>
    <w:uiPriority w:val="99"/>
    <w:unhideWhenUsed/>
    <w:rsid w:val="002733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496838">
      <w:bodyDiv w:val="1"/>
      <w:marLeft w:val="0"/>
      <w:marRight w:val="0"/>
      <w:marTop w:val="0"/>
      <w:marBottom w:val="0"/>
      <w:divBdr>
        <w:top w:val="none" w:sz="0" w:space="0" w:color="auto"/>
        <w:left w:val="none" w:sz="0" w:space="0" w:color="auto"/>
        <w:bottom w:val="none" w:sz="0" w:space="0" w:color="auto"/>
        <w:right w:val="none" w:sz="0" w:space="0" w:color="auto"/>
      </w:divBdr>
      <w:divsChild>
        <w:div w:id="1700625948">
          <w:marLeft w:val="-572"/>
          <w:marRight w:val="0"/>
          <w:marTop w:val="0"/>
          <w:marBottom w:val="0"/>
          <w:divBdr>
            <w:top w:val="none" w:sz="0" w:space="0" w:color="auto"/>
            <w:left w:val="none" w:sz="0" w:space="0" w:color="auto"/>
            <w:bottom w:val="none" w:sz="0" w:space="0" w:color="auto"/>
            <w:right w:val="none" w:sz="0" w:space="0" w:color="auto"/>
          </w:divBdr>
        </w:div>
        <w:div w:id="1338925288">
          <w:marLeft w:val="-572"/>
          <w:marRight w:val="0"/>
          <w:marTop w:val="0"/>
          <w:marBottom w:val="0"/>
          <w:divBdr>
            <w:top w:val="none" w:sz="0" w:space="0" w:color="auto"/>
            <w:left w:val="none" w:sz="0" w:space="0" w:color="auto"/>
            <w:bottom w:val="none" w:sz="0" w:space="0" w:color="auto"/>
            <w:right w:val="none" w:sz="0" w:space="0" w:color="auto"/>
          </w:divBdr>
        </w:div>
      </w:divsChild>
    </w:div>
    <w:div w:id="1999528182">
      <w:bodyDiv w:val="1"/>
      <w:marLeft w:val="0"/>
      <w:marRight w:val="0"/>
      <w:marTop w:val="0"/>
      <w:marBottom w:val="0"/>
      <w:divBdr>
        <w:top w:val="none" w:sz="0" w:space="0" w:color="auto"/>
        <w:left w:val="none" w:sz="0" w:space="0" w:color="auto"/>
        <w:bottom w:val="none" w:sz="0" w:space="0" w:color="auto"/>
        <w:right w:val="none" w:sz="0" w:space="0" w:color="auto"/>
      </w:divBdr>
      <w:divsChild>
        <w:div w:id="852960918">
          <w:marLeft w:val="-572"/>
          <w:marRight w:val="0"/>
          <w:marTop w:val="0"/>
          <w:marBottom w:val="0"/>
          <w:divBdr>
            <w:top w:val="none" w:sz="0" w:space="0" w:color="auto"/>
            <w:left w:val="none" w:sz="0" w:space="0" w:color="auto"/>
            <w:bottom w:val="none" w:sz="0" w:space="0" w:color="auto"/>
            <w:right w:val="none" w:sz="0" w:space="0" w:color="auto"/>
          </w:divBdr>
        </w:div>
        <w:div w:id="39447836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1267</Words>
  <Characters>6971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2025-03-28T14:50:00Z</dcterms:created>
  <dcterms:modified xsi:type="dcterms:W3CDTF">2025-03-28T15:46:00Z</dcterms:modified>
</cp:coreProperties>
</file>